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287" w:rsidRDefault="006A4287" w:rsidP="006A4287">
      <w:pPr>
        <w:ind w:left="0" w:firstLine="0"/>
        <w:jc w:val="center"/>
        <w:rPr>
          <w:b/>
        </w:rPr>
      </w:pPr>
    </w:p>
    <w:p w:rsidR="006A4287" w:rsidRDefault="006A4287" w:rsidP="006A4287">
      <w:pPr>
        <w:ind w:left="0" w:firstLine="0"/>
        <w:jc w:val="center"/>
        <w:rPr>
          <w:b/>
        </w:rPr>
      </w:pPr>
    </w:p>
    <w:p w:rsidR="006A4287" w:rsidRDefault="006A4287" w:rsidP="006A4287">
      <w:pPr>
        <w:ind w:left="0" w:firstLine="0"/>
        <w:jc w:val="center"/>
        <w:rPr>
          <w:b/>
        </w:rPr>
      </w:pPr>
    </w:p>
    <w:p w:rsidR="00591ACD" w:rsidRPr="00A41435" w:rsidRDefault="00BE5FDF" w:rsidP="006A4287">
      <w:pPr>
        <w:ind w:left="0" w:firstLine="0"/>
        <w:jc w:val="center"/>
        <w:rPr>
          <w:b/>
        </w:rPr>
      </w:pPr>
      <w:r w:rsidRPr="00A41435">
        <w:rPr>
          <w:b/>
        </w:rPr>
        <w:t xml:space="preserve">A </w:t>
      </w:r>
      <w:r w:rsidR="006A4287" w:rsidRPr="00A41435">
        <w:rPr>
          <w:b/>
        </w:rPr>
        <w:t xml:space="preserve">Case </w:t>
      </w:r>
      <w:r w:rsidRPr="00A41435">
        <w:rPr>
          <w:b/>
        </w:rPr>
        <w:t xml:space="preserve">Study </w:t>
      </w:r>
      <w:r w:rsidR="006A4287" w:rsidRPr="00A41435">
        <w:rPr>
          <w:b/>
        </w:rPr>
        <w:t xml:space="preserve">On </w:t>
      </w:r>
      <w:r w:rsidRPr="00A41435">
        <w:rPr>
          <w:b/>
        </w:rPr>
        <w:t xml:space="preserve">Valerie </w:t>
      </w:r>
      <w:r w:rsidR="006A4287" w:rsidRPr="00A41435">
        <w:rPr>
          <w:b/>
        </w:rPr>
        <w:t>Is A 38-Year-Old Female With A History Of Adult Cystic Acne.</w:t>
      </w:r>
    </w:p>
    <w:p w:rsidR="006A4287" w:rsidRDefault="006A4287" w:rsidP="006A4287">
      <w:pPr>
        <w:ind w:left="0" w:firstLine="0"/>
        <w:jc w:val="center"/>
      </w:pPr>
    </w:p>
    <w:p w:rsidR="006A4287" w:rsidRDefault="00BE5FDF" w:rsidP="006A4287">
      <w:pPr>
        <w:tabs>
          <w:tab w:val="left" w:pos="5780"/>
        </w:tabs>
        <w:ind w:left="0" w:firstLine="0"/>
      </w:pPr>
      <w:r>
        <w:tab/>
      </w:r>
    </w:p>
    <w:p w:rsidR="006A4287" w:rsidRDefault="006A4287" w:rsidP="006A4287">
      <w:pPr>
        <w:ind w:left="0" w:firstLine="0"/>
        <w:jc w:val="center"/>
      </w:pPr>
    </w:p>
    <w:p w:rsidR="000273F3" w:rsidRDefault="00BE5FDF" w:rsidP="006A4287">
      <w:pPr>
        <w:ind w:left="0" w:firstLine="0"/>
        <w:jc w:val="center"/>
      </w:pPr>
      <w:r>
        <w:t>Name</w:t>
      </w:r>
    </w:p>
    <w:p w:rsidR="000273F3" w:rsidRDefault="00BE5FDF" w:rsidP="006A4287">
      <w:pPr>
        <w:ind w:left="0" w:firstLine="0"/>
        <w:jc w:val="center"/>
      </w:pPr>
      <w:r>
        <w:t>Institution of Affiliation</w:t>
      </w:r>
    </w:p>
    <w:p w:rsidR="000273F3" w:rsidRDefault="00BE5FDF" w:rsidP="006A4287">
      <w:pPr>
        <w:ind w:left="0" w:firstLine="0"/>
        <w:jc w:val="center"/>
      </w:pPr>
      <w:r>
        <w:t>Professor</w:t>
      </w:r>
    </w:p>
    <w:p w:rsidR="000273F3" w:rsidRDefault="00BE5FDF" w:rsidP="006A4287">
      <w:pPr>
        <w:ind w:left="0" w:firstLine="0"/>
        <w:jc w:val="center"/>
      </w:pPr>
      <w:r>
        <w:t>Date</w:t>
      </w:r>
    </w:p>
    <w:p w:rsidR="006A4287" w:rsidRDefault="006A4287" w:rsidP="006A4287">
      <w:pPr>
        <w:ind w:left="0" w:firstLine="0"/>
        <w:jc w:val="center"/>
        <w:rPr>
          <w:b/>
        </w:rPr>
      </w:pPr>
    </w:p>
    <w:p w:rsidR="006A4287" w:rsidRDefault="006A4287" w:rsidP="006A4287">
      <w:pPr>
        <w:ind w:left="0" w:firstLine="0"/>
        <w:jc w:val="center"/>
        <w:rPr>
          <w:b/>
        </w:rPr>
      </w:pPr>
    </w:p>
    <w:p w:rsidR="006A4287" w:rsidRDefault="006A4287" w:rsidP="006A4287">
      <w:pPr>
        <w:ind w:left="0" w:firstLine="0"/>
        <w:jc w:val="center"/>
        <w:rPr>
          <w:b/>
        </w:rPr>
      </w:pPr>
    </w:p>
    <w:p w:rsidR="006A4287" w:rsidRDefault="006A4287" w:rsidP="006A4287">
      <w:pPr>
        <w:ind w:left="0" w:firstLine="0"/>
        <w:jc w:val="center"/>
        <w:rPr>
          <w:b/>
        </w:rPr>
      </w:pPr>
    </w:p>
    <w:p w:rsidR="006A4287" w:rsidRDefault="006A4287" w:rsidP="006A4287">
      <w:pPr>
        <w:ind w:left="0" w:firstLine="0"/>
        <w:jc w:val="center"/>
        <w:rPr>
          <w:b/>
        </w:rPr>
      </w:pPr>
    </w:p>
    <w:p w:rsidR="006A4287" w:rsidRDefault="006A4287" w:rsidP="006A4287">
      <w:pPr>
        <w:ind w:left="0" w:firstLine="0"/>
        <w:jc w:val="center"/>
        <w:rPr>
          <w:b/>
        </w:rPr>
      </w:pPr>
    </w:p>
    <w:p w:rsidR="006A4287" w:rsidRDefault="006A4287" w:rsidP="006A4287">
      <w:pPr>
        <w:ind w:left="0" w:firstLine="0"/>
        <w:jc w:val="center"/>
        <w:rPr>
          <w:b/>
        </w:rPr>
      </w:pPr>
    </w:p>
    <w:p w:rsidR="006A4287" w:rsidRDefault="006A4287" w:rsidP="006A4287">
      <w:pPr>
        <w:ind w:left="0" w:firstLine="0"/>
        <w:jc w:val="center"/>
        <w:rPr>
          <w:b/>
        </w:rPr>
      </w:pPr>
    </w:p>
    <w:p w:rsidR="000273F3" w:rsidRPr="007A16E4" w:rsidRDefault="00BE5FDF" w:rsidP="006A4287">
      <w:pPr>
        <w:ind w:left="0" w:firstLine="0"/>
        <w:jc w:val="center"/>
        <w:rPr>
          <w:b/>
        </w:rPr>
      </w:pPr>
      <w:r w:rsidRPr="007A16E4">
        <w:rPr>
          <w:b/>
        </w:rPr>
        <w:lastRenderedPageBreak/>
        <w:t xml:space="preserve">A </w:t>
      </w:r>
      <w:r w:rsidR="006A4287" w:rsidRPr="007A16E4">
        <w:rPr>
          <w:b/>
        </w:rPr>
        <w:t xml:space="preserve">Case </w:t>
      </w:r>
      <w:r w:rsidRPr="007A16E4">
        <w:rPr>
          <w:b/>
        </w:rPr>
        <w:t xml:space="preserve">Study </w:t>
      </w:r>
      <w:r w:rsidR="006A4287" w:rsidRPr="007A16E4">
        <w:rPr>
          <w:b/>
        </w:rPr>
        <w:t xml:space="preserve">On </w:t>
      </w:r>
      <w:r w:rsidRPr="007A16E4">
        <w:rPr>
          <w:b/>
        </w:rPr>
        <w:t xml:space="preserve">Valerie </w:t>
      </w:r>
      <w:r w:rsidR="006A4287" w:rsidRPr="007A16E4">
        <w:rPr>
          <w:b/>
        </w:rPr>
        <w:t>Is A 38-Year-Old Female With A History Of Adult Cystic Acne</w:t>
      </w:r>
    </w:p>
    <w:p w:rsidR="000273F3" w:rsidRPr="007A16E4" w:rsidRDefault="00BE5FDF" w:rsidP="006A4287">
      <w:pPr>
        <w:ind w:left="0" w:firstLine="0"/>
        <w:jc w:val="center"/>
        <w:rPr>
          <w:b/>
        </w:rPr>
      </w:pPr>
      <w:r w:rsidRPr="007A16E4">
        <w:rPr>
          <w:b/>
        </w:rPr>
        <w:t xml:space="preserve">Discuss </w:t>
      </w:r>
      <w:r w:rsidR="006A4287" w:rsidRPr="007A16E4">
        <w:rPr>
          <w:b/>
        </w:rPr>
        <w:t>The Possible Reasons For The Failed Response Of Tetracycline</w:t>
      </w:r>
    </w:p>
    <w:p w:rsidR="00812C94" w:rsidRDefault="00BE5FDF" w:rsidP="00A41435">
      <w:pPr>
        <w:ind w:left="0" w:firstLine="720"/>
      </w:pPr>
      <w:r>
        <w:t>Tetracycline is an antibiotic that is used in the treatment and management of various infections, including acne. It belongs to the class of antibiotics called tetracycline</w:t>
      </w:r>
      <w:r w:rsidR="00464933">
        <w:t xml:space="preserve"> (Katzung, </w:t>
      </w:r>
      <w:r w:rsidR="00464933" w:rsidRPr="004249ED">
        <w:t>2017)</w:t>
      </w:r>
      <w:r>
        <w:t xml:space="preserve">. Despite </w:t>
      </w:r>
      <w:r>
        <w:t>Valerie using the medication to manage her cystic acne, there has been no improvement for the last five months. The dosing and frequency are within the acceptable limits and, therefore, should have experienced the improvement of her condition. However, she</w:t>
      </w:r>
      <w:r>
        <w:t xml:space="preserve"> takes the medication with her meals, and this is where the problem is and reason as to why the drug has not been effective in managing the condition. Her breakfast definitely contains dairy products that are contraindicated to be taken together with the m</w:t>
      </w:r>
      <w:r>
        <w:t>edication. This is because dairy products like milk reduce the effectiveness of the medication. This is because the dairy products have calcium, and they form chelates wh</w:t>
      </w:r>
      <w:r w:rsidR="00464933">
        <w:t xml:space="preserve">ich </w:t>
      </w:r>
      <w:r w:rsidR="00F672A1">
        <w:t>are not absorbed through the GI</w:t>
      </w:r>
      <w:bookmarkStart w:id="0" w:name="_GoBack"/>
      <w:bookmarkEnd w:id="0"/>
      <w:r w:rsidR="00464933">
        <w:t xml:space="preserve"> system (Shutter &amp; Akhondi, </w:t>
      </w:r>
      <w:r w:rsidR="00464933" w:rsidRPr="004249ED">
        <w:t>2019)</w:t>
      </w:r>
      <w:r>
        <w:t>. This, in effect</w:t>
      </w:r>
      <w:r>
        <w:t>, reduces the amount of tetracycline that is absorbed into the body system hence affects the bioavailability of the drug. The meals in the dinner would most likely contain calcium products that would, too, decrease the absorption and hence the effectivenes</w:t>
      </w:r>
      <w:r>
        <w:t xml:space="preserve">s of the medication. </w:t>
      </w:r>
      <w:r w:rsidR="00A41435">
        <w:t>In addition, the use of antiacids concurrently with tetracycline also reduces its effectiveness in the management of cystic acne for Valerie. This is because the OTC drug contains magnesium, calcium supplements, aluminum, and even iron products which interfere with proper absorption of tetracycline from the GI system hence reduces its bioavailability</w:t>
      </w:r>
      <w:r w:rsidR="00126D9D">
        <w:t xml:space="preserve"> (Shutter &amp; Akhondi, </w:t>
      </w:r>
      <w:r w:rsidR="00126D9D" w:rsidRPr="004249ED">
        <w:t>2019)</w:t>
      </w:r>
      <w:r w:rsidR="00A41435">
        <w:t xml:space="preserve">. </w:t>
      </w:r>
    </w:p>
    <w:p w:rsidR="00A41435" w:rsidRPr="00A41435" w:rsidRDefault="00BE5FDF" w:rsidP="006A4287">
      <w:pPr>
        <w:ind w:left="0" w:firstLine="0"/>
        <w:jc w:val="center"/>
        <w:rPr>
          <w:b/>
        </w:rPr>
      </w:pPr>
      <w:r w:rsidRPr="00A41435">
        <w:rPr>
          <w:b/>
        </w:rPr>
        <w:t xml:space="preserve">What </w:t>
      </w:r>
      <w:r w:rsidR="006A4287" w:rsidRPr="00A41435">
        <w:rPr>
          <w:b/>
        </w:rPr>
        <w:t>Changes In Her Medication Regimen Do You Recommend And Why?</w:t>
      </w:r>
    </w:p>
    <w:p w:rsidR="00A41435" w:rsidRDefault="00BE5FDF" w:rsidP="006A4287">
      <w:pPr>
        <w:ind w:left="0" w:firstLine="720"/>
      </w:pPr>
      <w:r>
        <w:lastRenderedPageBreak/>
        <w:t xml:space="preserve">If she needs to experience changes and </w:t>
      </w:r>
      <w:r>
        <w:t>effectiveness of the medication, she needs to make some changes. This would include her timing when taking the drugs and the meals. When taking dairy products during either breakfast or dinner, she either needs to take the drug one hour before the meals or</w:t>
      </w:r>
      <w:r>
        <w:t xml:space="preserve"> two hours after the meals</w:t>
      </w:r>
      <w:r w:rsidR="00126D9D">
        <w:t xml:space="preserve"> (Katzung, </w:t>
      </w:r>
      <w:r w:rsidR="00126D9D" w:rsidRPr="004249ED">
        <w:t>2017)</w:t>
      </w:r>
      <w:r>
        <w:t xml:space="preserve">. This would give the meals a time for digestion and absorption. It would ensure that the medication does not meet the dairy products to form chelates that would interfere with its absorption. </w:t>
      </w:r>
      <w:r w:rsidR="007022A1">
        <w:t xml:space="preserve">In addition, when taking the antiacids, she needs </w:t>
      </w:r>
      <w:r w:rsidR="006A4287">
        <w:t>to take her medication two</w:t>
      </w:r>
      <w:r w:rsidR="007022A1">
        <w:t xml:space="preserve"> hours before or six hours</w:t>
      </w:r>
      <w:r w:rsidR="006A4287">
        <w:t xml:space="preserve"> after antiacids</w:t>
      </w:r>
      <w:r w:rsidR="00126D9D">
        <w:t xml:space="preserve"> (Katzung, </w:t>
      </w:r>
      <w:r w:rsidR="00126D9D" w:rsidRPr="004249ED">
        <w:t>2017)</w:t>
      </w:r>
      <w:r w:rsidR="006A4287">
        <w:t xml:space="preserve">. This would ensure that there are no products of antiacids that would interfere with the medication absorption by forming the chelates and other non-absorbable products. </w:t>
      </w:r>
    </w:p>
    <w:p w:rsidR="00AB7D8E" w:rsidRDefault="00AB7D8E" w:rsidP="005608C8">
      <w:pPr>
        <w:ind w:left="0" w:firstLine="0"/>
      </w:pPr>
    </w:p>
    <w:p w:rsidR="00AB7D8E" w:rsidRDefault="00AB7D8E" w:rsidP="005608C8">
      <w:pPr>
        <w:ind w:left="0" w:firstLine="0"/>
      </w:pPr>
    </w:p>
    <w:p w:rsidR="00AB7D8E" w:rsidRDefault="00AB7D8E" w:rsidP="005608C8">
      <w:pPr>
        <w:ind w:left="0" w:firstLine="0"/>
      </w:pPr>
    </w:p>
    <w:p w:rsidR="00AB7D8E" w:rsidRDefault="00AB7D8E" w:rsidP="005608C8">
      <w:pPr>
        <w:ind w:left="0" w:firstLine="0"/>
      </w:pPr>
    </w:p>
    <w:p w:rsidR="00AB7D8E" w:rsidRDefault="00AB7D8E" w:rsidP="005608C8">
      <w:pPr>
        <w:ind w:left="0" w:firstLine="0"/>
      </w:pPr>
    </w:p>
    <w:p w:rsidR="00AB7D8E" w:rsidRDefault="00AB7D8E" w:rsidP="005608C8">
      <w:pPr>
        <w:ind w:left="0" w:firstLine="0"/>
      </w:pPr>
    </w:p>
    <w:p w:rsidR="00AB7D8E" w:rsidRDefault="00AB7D8E" w:rsidP="005608C8">
      <w:pPr>
        <w:ind w:left="0" w:firstLine="0"/>
      </w:pPr>
    </w:p>
    <w:p w:rsidR="00AB7D8E" w:rsidRDefault="00AB7D8E" w:rsidP="005608C8">
      <w:pPr>
        <w:ind w:left="0" w:firstLine="0"/>
      </w:pPr>
    </w:p>
    <w:p w:rsidR="00AB7D8E" w:rsidRDefault="00AB7D8E" w:rsidP="005608C8">
      <w:pPr>
        <w:ind w:left="0" w:firstLine="0"/>
      </w:pPr>
    </w:p>
    <w:p w:rsidR="00AB7D8E" w:rsidRDefault="00AB7D8E" w:rsidP="005608C8">
      <w:pPr>
        <w:ind w:left="0" w:firstLine="0"/>
      </w:pPr>
    </w:p>
    <w:p w:rsidR="00AB7D8E" w:rsidRDefault="00AB7D8E" w:rsidP="005608C8">
      <w:pPr>
        <w:ind w:left="0" w:firstLine="0"/>
      </w:pPr>
    </w:p>
    <w:p w:rsidR="005608C8" w:rsidRPr="00AB7D8E" w:rsidRDefault="00BE5FDF" w:rsidP="00AB7D8E">
      <w:pPr>
        <w:ind w:left="0" w:firstLine="0"/>
        <w:jc w:val="center"/>
        <w:rPr>
          <w:b/>
        </w:rPr>
      </w:pPr>
      <w:r w:rsidRPr="00AB7D8E">
        <w:rPr>
          <w:b/>
        </w:rPr>
        <w:lastRenderedPageBreak/>
        <w:t>References</w:t>
      </w:r>
    </w:p>
    <w:p w:rsidR="00AB7D8E" w:rsidRDefault="00BE5FDF" w:rsidP="00AB7D8E">
      <w:pPr>
        <w:spacing w:after="0"/>
        <w:ind w:hanging="720"/>
      </w:pPr>
      <w:r w:rsidRPr="004249ED">
        <w:t>Katzung, B. G. (2017). </w:t>
      </w:r>
      <w:r w:rsidRPr="004249ED">
        <w:rPr>
          <w:i/>
          <w:iCs/>
        </w:rPr>
        <w:t>Basic and Clinical Pharmacology 14th Edition</w:t>
      </w:r>
      <w:r w:rsidRPr="004249ED">
        <w:t>. McGraw Hill Professional.</w:t>
      </w:r>
    </w:p>
    <w:p w:rsidR="00AB7D8E" w:rsidRDefault="00BE5FDF" w:rsidP="00AB7D8E">
      <w:pPr>
        <w:spacing w:after="0"/>
        <w:ind w:hanging="720"/>
      </w:pPr>
      <w:r w:rsidRPr="004249ED">
        <w:t>Shutter, M. C., &amp; Akhondi, H. (2019). Tetracycline. In </w:t>
      </w:r>
      <w:r w:rsidRPr="004249ED">
        <w:rPr>
          <w:i/>
          <w:iCs/>
        </w:rPr>
        <w:t>StatPearls [Internet]</w:t>
      </w:r>
      <w:r w:rsidRPr="004249ED">
        <w:t>. StatPearls Publishing.</w:t>
      </w:r>
    </w:p>
    <w:sectPr w:rsidR="00AB7D8E" w:rsidSect="00BF6C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5FDF" w:rsidRDefault="00BE5FDF">
      <w:pPr>
        <w:spacing w:after="0" w:line="240" w:lineRule="auto"/>
      </w:pPr>
      <w:r>
        <w:separator/>
      </w:r>
    </w:p>
  </w:endnote>
  <w:endnote w:type="continuationSeparator" w:id="0">
    <w:p w:rsidR="00BE5FDF" w:rsidRDefault="00BE5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5FDF" w:rsidRDefault="00BE5FDF">
      <w:pPr>
        <w:spacing w:after="0" w:line="240" w:lineRule="auto"/>
      </w:pPr>
      <w:r>
        <w:separator/>
      </w:r>
    </w:p>
  </w:footnote>
  <w:footnote w:type="continuationSeparator" w:id="0">
    <w:p w:rsidR="00BE5FDF" w:rsidRDefault="00BE5F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3917018"/>
      <w:docPartObj>
        <w:docPartGallery w:val="Page Numbers (Top of Page)"/>
        <w:docPartUnique/>
      </w:docPartObj>
    </w:sdtPr>
    <w:sdtEndPr>
      <w:rPr>
        <w:noProof/>
      </w:rPr>
    </w:sdtEndPr>
    <w:sdtContent>
      <w:p w:rsidR="006A4287" w:rsidRDefault="00BE5FDF">
        <w:pPr>
          <w:pStyle w:val="Header"/>
          <w:jc w:val="right"/>
        </w:pPr>
        <w:r>
          <w:fldChar w:fldCharType="begin"/>
        </w:r>
        <w:r>
          <w:instrText xml:space="preserve"> PAGE   \* MERGEFORMAT </w:instrText>
        </w:r>
        <w:r>
          <w:fldChar w:fldCharType="separate"/>
        </w:r>
        <w:r w:rsidR="00F672A1">
          <w:rPr>
            <w:noProof/>
          </w:rPr>
          <w:t>2</w:t>
        </w:r>
        <w:r>
          <w:rPr>
            <w:noProof/>
          </w:rPr>
          <w:fldChar w:fldCharType="end"/>
        </w:r>
      </w:p>
    </w:sdtContent>
  </w:sdt>
  <w:p w:rsidR="006A4287" w:rsidRDefault="006A4287" w:rsidP="006A4287">
    <w:pPr>
      <w:pStyle w:val="Header"/>
      <w:ind w:left="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F3"/>
    <w:rsid w:val="000273F3"/>
    <w:rsid w:val="00126D9D"/>
    <w:rsid w:val="001352BC"/>
    <w:rsid w:val="00416F35"/>
    <w:rsid w:val="004249ED"/>
    <w:rsid w:val="00464933"/>
    <w:rsid w:val="0048034F"/>
    <w:rsid w:val="004A15B7"/>
    <w:rsid w:val="004D7E18"/>
    <w:rsid w:val="005608C8"/>
    <w:rsid w:val="00591ACD"/>
    <w:rsid w:val="006A4287"/>
    <w:rsid w:val="007022A1"/>
    <w:rsid w:val="007A16E4"/>
    <w:rsid w:val="00812C94"/>
    <w:rsid w:val="008817F8"/>
    <w:rsid w:val="00964C07"/>
    <w:rsid w:val="00967D29"/>
    <w:rsid w:val="00A41435"/>
    <w:rsid w:val="00AB7D8E"/>
    <w:rsid w:val="00AE793E"/>
    <w:rsid w:val="00B922EF"/>
    <w:rsid w:val="00BE5FDF"/>
    <w:rsid w:val="00BF6C61"/>
    <w:rsid w:val="00CE58B9"/>
    <w:rsid w:val="00DB00BF"/>
    <w:rsid w:val="00F672A1"/>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pPr>
      <w:spacing w:after="150"/>
      <w:ind w:firstLine="284"/>
    </w:pPr>
    <w:rPr>
      <w:rFonts w:eastAsia="Calibri"/>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42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287"/>
    <w:rPr>
      <w:rFonts w:eastAsia="Calibri"/>
      <w:bCs w:val="0"/>
    </w:rPr>
  </w:style>
  <w:style w:type="paragraph" w:styleId="Footer">
    <w:name w:val="footer"/>
    <w:basedOn w:val="Normal"/>
    <w:link w:val="FooterChar"/>
    <w:uiPriority w:val="99"/>
    <w:unhideWhenUsed/>
    <w:rsid w:val="006A42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287"/>
    <w:rPr>
      <w:rFonts w:eastAsia="Calibri"/>
      <w:b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pPr>
      <w:spacing w:after="150"/>
      <w:ind w:firstLine="284"/>
    </w:pPr>
    <w:rPr>
      <w:rFonts w:eastAsia="Calibri"/>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42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287"/>
    <w:rPr>
      <w:rFonts w:eastAsia="Calibri"/>
      <w:bCs w:val="0"/>
    </w:rPr>
  </w:style>
  <w:style w:type="paragraph" w:styleId="Footer">
    <w:name w:val="footer"/>
    <w:basedOn w:val="Normal"/>
    <w:link w:val="FooterChar"/>
    <w:uiPriority w:val="99"/>
    <w:unhideWhenUsed/>
    <w:rsid w:val="006A42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287"/>
    <w:rPr>
      <w:rFonts w:eastAsia="Calibri"/>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4</Pages>
  <Words>454</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18</cp:revision>
  <dcterms:created xsi:type="dcterms:W3CDTF">2020-07-23T07:02:00Z</dcterms:created>
  <dcterms:modified xsi:type="dcterms:W3CDTF">2020-07-23T08:13:00Z</dcterms:modified>
</cp:coreProperties>
</file>